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3195</w:t>
        <w:t xml:space="preserve">.  </w:t>
      </w:r>
      <w:r>
        <w:rPr>
          <w:b/>
        </w:rPr>
        <w:t xml:space="preserve">Compensation for care provided to persons with intellectual disabilities or autism</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reimburse services provided to MaineCare member adults with intellectual disabilities or autism under a waiver granted by the federal Centers for Medicare and Medicaid Services for home-based and community-based care on the basis of rates and a methodology established by major substantive rulemaking.  The department shall, at least every 2 years, conduct a substantive review of the rates set under this section.  The review must provide for public comment.  This section applies to all funds, including federal funds, paid by any agency of the State to a provider for care covered by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department shall adopt rules providing reimbursement rates under this section that take into account the costs of providing care and services in conformity with applicable state and federal laws, rules, regulations and quality and safety standards and local competitive wage markets.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§3195. Compensation for care provided to persons with intellectual disabilities or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§3195. Compensation for care provided to persons with intellectual disabilities or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§3195. COMPENSATION FOR CARE PROVIDED TO PERSONS WITH INTELLECTUAL DISABILITIES OR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