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2003, c. 689, §§B6,7 (REV). RR 2021, c. 2, Pt. B, §167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