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w:t>
        <w:t xml:space="preserve">.  </w:t>
      </w:r>
      <w:r>
        <w:rPr>
          <w:b/>
        </w:rPr>
        <w:t xml:space="preserve">Applicability of chapter</w:t>
      </w:r>
    </w:p>
    <w:p>
      <w:pPr>
        <w:jc w:val="both"/>
        <w:spacing w:before="100" w:after="100"/>
        <w:ind w:start="360"/>
        <w:ind w:firstLine="360"/>
      </w:pPr>
      <w:r>
        <w:rPr/>
      </w:r>
      <w:r>
        <w:rPr/>
      </w:r>
      <w:r>
        <w:t xml:space="preserve">The provisions of this chapter apply only to so much of state supplemental income to the blind, disabled and elderly as is administered directly by the department, and not to so much thereof as is administered by the secretary. When the administration of any portion of the state supplemental income program is transferred to the secretary, these provisions shall no longer apply to such portion of the state supplemental income program.</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§3275.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§3275.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