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Payment for protective services</w:t>
      </w:r>
    </w:p>
    <w:p>
      <w:pPr>
        <w:jc w:val="both"/>
        <w:spacing w:before="100" w:after="100"/>
        <w:ind w:start="360"/>
        <w:ind w:firstLine="360"/>
      </w:pPr>
      <w:r>
        <w:rPr/>
      </w:r>
      <w:r>
        <w:rPr/>
      </w:r>
      <w:r>
        <w:t xml:space="preserve">At the time the department makes an evaluation of the case reported, it must be determined, according to regulations set by the commissioner, whether the incapacitated or dependent adult is financially capable of paying for the essential services. To the extent that assets are available to the incapacitated or dependent adult, ward or protected person, the cost of services must be borne by the estate of the person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2003, c. 653,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2003, c. 653,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Payment for protective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§3484. PAYMENT FOR PROTECTIVE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