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3493</w:t>
        <w:t xml:space="preserve">.  </w:t>
      </w:r>
      <w:r>
        <w:rPr>
          <w:b/>
        </w:rPr>
        <w:t xml:space="preserve">Rules</w:t>
      </w:r>
    </w:p>
    <w:p>
      <w:pPr>
        <w:jc w:val="both"/>
        <w:spacing w:before="100" w:after="100"/>
        <w:ind w:start="360"/>
        <w:ind w:firstLine="360"/>
      </w:pPr>
      <w:r>
        <w:rPr/>
      </w:r>
      <w:r>
        <w:rPr/>
      </w:r>
      <w:r>
        <w:t xml:space="preserve">The department may adopt rules in accordance with </w:t>
      </w:r>
      <w:r>
        <w:t>Title 5, chapter 375, subchapter 2‑A</w:t>
      </w:r>
      <w:r>
        <w:t xml:space="preserve">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2003, c. 653,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§3493.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§3493.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§3493.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