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w:t>
        <w:t xml:space="preserve">.  </w:t>
      </w:r>
      <w:r>
        <w:rPr>
          <w:b/>
        </w:rPr>
        <w:t xml:space="preserve">Penalty</w:t>
      </w:r>
    </w:p>
    <w:p>
      <w:pPr>
        <w:jc w:val="both"/>
        <w:spacing w:before="100" w:after="0"/>
        <w:ind w:start="360"/>
        <w:ind w:firstLine="360"/>
      </w:pPr>
      <w:r>
        <w:rPr>
          <w:b/>
        </w:rPr>
        <w:t>1</w:t>
        <w:t xml:space="preserve">.  </w:t>
      </w:r>
      <w:r>
        <w:rPr>
          <w:b/>
        </w:rPr>
        <w:t xml:space="preserve">Violation.</w:t>
        <w:t xml:space="preserve"> </w:t>
      </w:r>
      <w:r>
        <w:t xml:space="preserve"> </w:t>
      </w:r>
      <w:r>
        <w:t xml:space="preserve">An individual, partnership, association, organization, corporation or trust that violates any provision of this chapter or any rate, rule or regulation pursuant to this chapter is subject to a fine imposed in conformance with the Maine Administrative Procedure Act and payable to the State of not more than $10,000.  The department may hold these funds in a special revenue account that may be used only to support certificate of need reviews, such as for hiring expert analysts on a short-term consulting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§14 (NEW).]</w:t>
      </w:r>
    </w:p>
    <w:p>
      <w:pPr>
        <w:jc w:val="both"/>
        <w:spacing w:before="100" w:after="0"/>
        <w:ind w:start="360"/>
        <w:ind w:firstLine="360"/>
      </w:pPr>
      <w:r>
        <w:rPr>
          <w:b/>
        </w:rPr>
        <w:t>2</w:t>
        <w:t xml:space="preserve">.  </w:t>
      </w:r>
      <w:r>
        <w:rPr>
          <w:b/>
        </w:rPr>
        <w:t xml:space="preserve">Administrative hearing and appeal.</w:t>
        <w:t xml:space="preserve"> </w:t>
      </w:r>
      <w:r>
        <w:t xml:space="preserve"> </w:t>
      </w:r>
      <w:r>
        <w:t xml:space="preserve">To contest the imposition of a fine under this section, the individual, partnership, association, organization, corporation or trust shall submit to the department a written request for an administrative hearing within 10 days of notice of imposition of a fine pursuant to this section.  Judicial appeal must be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