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3769-D</w:t>
        <w:t xml:space="preserve">.  </w:t>
      </w:r>
      <w:r>
        <w:rPr>
          <w:b/>
        </w:rPr>
        <w:t xml:space="preserve">Temporary Assistance for Needy Families block grant; family development accounts</w:t>
      </w:r>
    </w:p>
    <w:p>
      <w:pPr>
        <w:jc w:val="both"/>
        <w:spacing w:before="100" w:after="100"/>
        <w:ind w:start="360"/>
        <w:ind w:firstLine="360"/>
      </w:pPr>
      <w:r>
        <w:rPr/>
      </w:r>
      <w:r>
        <w:rPr/>
      </w:r>
      <w:r>
        <w:t xml:space="preserve">In fiscal year 2016-17 and annually thereafter, the Department of Health and Human Services may use $500,000 in funds provided under the Temporary Assistance for Needy Families block grant to promote financial literacy and healthy savings habits of families with income less than 200% of the federal poverty guidelines through the placement of funds in family development accounts established pursuant to </w:t>
      </w:r>
      <w:r>
        <w:t>Title 20‑A, chapter 412‑B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RRRR, §4 (NEW). PL 2019, c. 239,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§3769-D. Temporary Assistance for Needy Families block grant; family development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§3769-D. Temporary Assistance for Needy Families block grant; family development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§3769-D. TEMPORARY ASSISTANCE FOR NEEDY FAMILIES BLOCK GRANT; FAMILY DEVELOPMENT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