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w:t>
        <w:t xml:space="preserve">.  </w:t>
      </w:r>
      <w:r>
        <w:rPr>
          <w:b/>
        </w:rPr>
        <w:t xml:space="preserve">Disbursements</w:t>
      </w:r>
    </w:p>
    <w:p>
      <w:pPr>
        <w:jc w:val="both"/>
        <w:spacing w:before="100" w:after="0"/>
        <w:ind w:start="360"/>
        <w:ind w:firstLine="360"/>
      </w:pPr>
      <w:r>
        <w:rPr>
          <w:b/>
        </w:rPr>
        <w:t>1</w:t>
        <w:t xml:space="preserve">.  </w:t>
      </w:r>
      <w:r>
        <w:rPr>
          <w:b/>
        </w:rPr>
        <w:t xml:space="preserve">Payment priority.</w:t>
        <w:t xml:space="preserve"> </w:t>
      </w:r>
      <w:r>
        <w:t xml:space="preserve"> </w:t>
      </w:r>
      <w:r>
        <w:t xml:space="preserve">Payments made on behalf of the department for TANF assistance, the Parents as Scholars Program under </w:t>
      </w:r>
      <w:r>
        <w:t>chapter 1054‑B</w:t>
      </w:r>
      <w:r>
        <w:t xml:space="preserve"> and for foster care have priority over other payments and must be made without delay whether or not they are pursuant to a state plan or contract.  The department shall cooperate with other state agencies to accomplish priority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2</w:t>
        <w:t xml:space="preserve">.  </w:t>
      </w:r>
      <w:r>
        <w:rPr>
          <w:b/>
        </w:rPr>
        <w:t xml:space="preserve">Transfer of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282, §2 (RP).]</w:t>
      </w:r>
    </w:p>
    <w:p>
      <w:pPr>
        <w:jc w:val="both"/>
        <w:spacing w:before="100" w:after="0"/>
        <w:ind w:start="360"/>
        <w:ind w:firstLine="360"/>
      </w:pPr>
      <w:r>
        <w:rPr>
          <w:b/>
        </w:rPr>
        <w:t>3</w:t>
        <w:t xml:space="preserve">.  </w:t>
      </w:r>
      <w:r>
        <w:rPr>
          <w:b/>
        </w:rPr>
        <w:t xml:space="preserve">Balances of funds not to lapse.</w:t>
        <w:t xml:space="preserve"> </w:t>
      </w:r>
      <w:r>
        <w:t xml:space="preserve"> </w:t>
      </w:r>
      <w:r>
        <w:t xml:space="preserve">Any balances of funds appropriated for TANF or ASPIRE-TANF may not lapse but must be carried forward from year to year to be expended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XX,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2007, c. 282, §2 (AMD). PL 2009, c. 571, Pt. XX,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§3769.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