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3819</w:t>
        <w:t xml:space="preserve">.  </w:t>
      </w:r>
      <w:r>
        <w:rPr>
          <w:b/>
        </w:rPr>
        <w:t xml:space="preserve">Payor protected</w:t>
      </w:r>
    </w:p>
    <w:p>
      <w:pPr>
        <w:jc w:val="both"/>
        <w:spacing w:before="100" w:after="100"/>
        <w:ind w:start="360"/>
        <w:ind w:firstLine="360"/>
      </w:pPr>
      <w:r>
        <w:rPr/>
      </w:r>
      <w:r>
        <w:rPr/>
      </w:r>
      <w:r>
        <w:t xml:space="preserve">An employer or other payor of income may not be held liable for action taken to honor a duly executed income withholding order or assignment of earnings issued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§3819. Payor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§3819. Payor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§3819. PAYOR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