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Fiscal agents</w:t>
      </w:r>
    </w:p>
    <w:p>
      <w:pPr>
        <w:jc w:val="both"/>
        <w:spacing w:before="100" w:after="100"/>
        <w:ind w:start="360"/>
        <w:ind w:firstLine="360"/>
      </w:pPr>
      <w:r>
        <w:rPr/>
      </w:r>
      <w:r>
        <w:rPr/>
      </w:r>
      <w:r>
        <w:t xml:space="preserve">A fiscal agent receiving grants or funds under this chapter shall act only in an administrative capacity to receive and distribute grant or fund money to the child abuse and neglect prevention councils, as described in the rules adopted by the department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2009, c. 204,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§3874. Fiscal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Fiscal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§3874. FISCAL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