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3882</w:t>
        <w:t xml:space="preserve">.  </w:t>
      </w:r>
      <w:r>
        <w:rPr>
          <w:b/>
        </w:rPr>
        <w:t xml:space="preserve">Establishment; purpose; nonprofit organization</w:t>
      </w:r>
    </w:p>
    <w:p>
      <w:pPr>
        <w:jc w:val="both"/>
        <w:spacing w:before="100" w:after="100"/>
        <w:ind w:start="360"/>
        <w:ind w:firstLine="360"/>
      </w:pPr>
      <w:r>
        <w:rPr/>
      </w:r>
      <w:r>
        <w:rPr/>
      </w:r>
      <w:r>
        <w:t xml:space="preserve">The Maine Children's Trust Incorporated, referred to in this chapter as the "trust," is established to provide a mechanism for voluntary contributions by individuals and groups for annual and long-term funding of prevention programs.</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w:pPr>
        <w:jc w:val="both"/>
        <w:spacing w:before="100" w:after="100"/>
        <w:ind w:start="360"/>
        <w:ind w:firstLine="360"/>
      </w:pPr>
      <w:r>
        <w:rPr/>
      </w:r>
      <w:r>
        <w:rPr/>
      </w:r>
      <w:r>
        <w:t xml:space="preserve">The trust is a private nonprofit corporation with a broad public purpose pursuant to this chapter.  The exercise by the trust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402,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§3882. Establishment; purpose; nonprofit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§3882. Establishment; purpose; nonprofit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§3882. ESTABLISHMENT; PURPOSE; NONPROFIT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