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3947</w:t>
        <w:t xml:space="preserve">.  </w:t>
      </w:r>
      <w:r>
        <w:rPr>
          <w:b/>
        </w:rPr>
        <w:t xml:space="preserve">Petition to court of competent jurisdiction to invalidate action upon showing of certain violations</w:t>
      </w:r>
    </w:p>
    <w:p>
      <w:pPr>
        <w:jc w:val="both"/>
        <w:spacing w:before="100" w:after="100"/>
        <w:ind w:start="360"/>
        <w:ind w:firstLine="360"/>
      </w:pPr>
      <w:r>
        <w:rPr/>
      </w:r>
      <w:r>
        <w:rPr/>
      </w:r>
      <w:r>
        <w:t xml:space="preserve">An Indian child who is the subject of an action for foster care placement or termination of parental rights under the laws of this State, a parent or Indian custodian from whose custody the Indian child was removed under the laws of this State and the Indian child's tribe may petition the District Court to invalidate the action upon a showing by clear and convincing evidence that the action violated any provision of </w:t>
      </w:r>
      <w:r>
        <w:t>sections 3944</w:t>
      </w:r>
      <w:r>
        <w:t xml:space="preserve"> to </w:t>
      </w:r>
      <w:r>
        <w:t>3946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§3947. Petition to court of competent jurisdiction to invalidate action upon showing of certain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§3947. Petition to court of competent jurisdiction to invalidate action upon showing of certain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§3947. PETITION TO COURT OF COMPETENT JURISDICTION TO INVALIDATE ACTION UPON SHOWING OF CERTAIN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