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4022</w:t>
        <w:t xml:space="preserve">.  </w:t>
      </w:r>
      <w:r>
        <w:rPr>
          <w:b/>
        </w:rPr>
        <w:t xml:space="preserve">Voluntary care</w:t>
      </w:r>
    </w:p>
    <w:p>
      <w:pPr>
        <w:jc w:val="both"/>
        <w:spacing w:before="100" w:after="100"/>
        <w:ind w:start="360"/>
        <w:ind w:firstLine="360"/>
      </w:pPr>
      <w:r>
        <w:rPr/>
      </w:r>
      <w:r>
        <w:rPr/>
      </w:r>
      <w:r>
        <w:t xml:space="preserve">On the written request of a person responsible for the child, the department may care for that child for a specified period by agreement, unless a custodian objects. Voluntary care agreements shall not affect custody. The department may require reimbursement from a parent or custodian for these services.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§4022. Voluntary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§4022. VOLUNTARY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