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4197</w:t>
        <w:t xml:space="preserve">.  </w:t>
      </w:r>
      <w:r>
        <w:rPr>
          <w:b/>
        </w:rPr>
        <w:t xml:space="preserve">Compact administrator -- Article VII</w:t>
      </w:r>
    </w:p>
    <w:p>
      <w:pPr>
        <w:jc w:val="both"/>
        <w:spacing w:before="100" w:after="100"/>
        <w:ind w:start="360"/>
        <w:ind w:firstLine="360"/>
      </w:pPr>
      <w:r>
        <w:rPr/>
      </w:r>
      <w:r>
        <w:rPr/>
      </w:r>
      <w:r>
        <w:t xml:space="preserve">The executive head of each jurisdiction party to this compact shall designate an officer who is to be the general coordinator of activities under this compact in the officer's jurisdiction and who, acting jointly with like officers of other party jurisdictions, has power to adopt rules to carry out more effectively the terms and provisions of this compact.</w:t>
      </w:r>
      <w:r>
        <w:t xml:space="preserve">  </w:t>
      </w:r>
      <w:r xmlns:wp="http://schemas.openxmlformats.org/drawingml/2010/wordprocessingDrawing" xmlns:w15="http://schemas.microsoft.com/office/word/2012/wordml">
        <w:rPr>
          <w:rFonts w:ascii="Arial" w:hAnsi="Arial" w:cs="Arial"/>
          <w:sz w:val="22"/>
          <w:szCs w:val="22"/>
        </w:rPr>
        <w:t xml:space="preserve">[RR 2021, c. 2, Pt. B, §196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§196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§4197. Compact administrator -- Article VII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§4197. Compact administrator -- Article VII</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§4197. COMPACT ADMINISTRATOR -- ARTICLE VII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