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4246</w:t>
        <w:t xml:space="preserve">.  </w:t>
      </w:r>
      <w:r>
        <w:rPr>
          <w:b/>
        </w:rPr>
        <w:t xml:space="preserve">Jurisdiction</w:t>
      </w:r>
    </w:p>
    <w:p>
      <w:pPr>
        <w:jc w:val="both"/>
        <w:spacing w:before="100" w:after="100"/>
        <w:ind w:start="360"/>
        <w:ind w:firstLine="360"/>
      </w:pPr>
      <w:r>
        <w:rPr/>
      </w:r>
      <w:r>
        <w:rPr/>
      </w:r>
      <w:r>
        <w:t xml:space="preserve">Any court having jurisdiction to place delinquent children may place such a child in an institution of or in another state pursuant to </w:t>
      </w:r>
      <w:r>
        <w:t>Article VI</w:t>
      </w:r>
      <w:r>
        <w:t xml:space="preserve"> of the Interstate Compact on the Placement of Children and shall retain jurisdiction as provided in </w:t>
      </w:r>
      <w:r>
        <w:t>Article V</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§4246.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