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Member states; effective date and amendment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Member.</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Effective.</w:t>
        <w:t xml:space="preserve"> </w:t>
      </w:r>
      <w:r>
        <w:t xml:space="preserve"> </w:t>
      </w:r>
      <w:r>
        <w:t xml:space="preserve">The compact becomes effective and binding upon legislative enactment of the compact into law by no fewer than 35 states.  The effective date is the later of July 1, 2007 or upon enactment of the compact into law by the 35th state. Thereafter the compact becomes effective and binding as to any other member state upon enactment of the compact into law by that state.  The executive heads of the state human services administrations with ultimate responsibility for the child welfare program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does not become effective and binding on the member states unless and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§4264. MEMBER STATES; EFFECTIVE DATE AND AMENDMENT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