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4315-A</w:t>
        <w:t xml:space="preserve">.  </w:t>
      </w:r>
      <w:r>
        <w:rPr>
          <w:b/>
        </w:rPr>
        <w:t xml:space="preserve">Use of income for basic necessities required</w:t>
      </w:r>
    </w:p>
    <w:p>
      <w:pPr>
        <w:jc w:val="both"/>
        <w:spacing w:before="100" w:after="100"/>
        <w:ind w:start="360"/>
        <w:ind w:firstLine="360"/>
      </w:pPr>
      <w:r>
        <w:rPr/>
      </w:r>
      <w:r>
        <w:rPr/>
      </w:r>
      <w:r>
        <w:t xml:space="preserve">All persons requesting general assistance must use their income for basic necessities.  Except for initial applicants, recipients are not eligible to receive assistance to replace income that was spent within the 30-day period prior to the application on goods and services that are not basic necessities.  The income not spent on goods and services that are basic necessities is considered available to the applicant.  A municipality may require recipients to utilize income and resources according to standards established by the municipality, except that a municipality may not reduce assistance to a recipient who has exhausted income to purchase basic necessities.  Municipalities shall provide written notice to applicants of the standards established by the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528, Pt. OOO, §2 (NEW); PL 1991, c. 528, Pt. RRR (AFF); PL 1991, c. 591,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§OOO2 (NEW). PL 1991, c. 528, §RRR (AFF). PL 1991, c. 591, §OOO2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§4315-A. Use of income for basic necessities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§4315-A. Use of income for basic necessities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§4315-A. USE OF INCOME FOR BASIC NECESSITIES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