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5325</w:t>
        <w:t xml:space="preserve">.  </w:t>
      </w:r>
      <w:r>
        <w:rPr>
          <w:b/>
        </w:rPr>
        <w:t xml:space="preserve">Governing board for community action agency</w:t>
      </w:r>
    </w:p>
    <w:p>
      <w:pPr>
        <w:jc w:val="both"/>
        <w:spacing w:before="100" w:after="0"/>
        <w:ind w:start="360"/>
        <w:ind w:firstLine="360"/>
      </w:pPr>
      <w:r>
        <w:rPr>
          <w:b/>
        </w:rPr>
        <w:t>1</w:t>
        <w:t xml:space="preserve">.  </w:t>
      </w:r>
      <w:r>
        <w:rPr>
          <w:b/>
        </w:rPr>
        <w:t xml:space="preserve">Board of directors; establishment.</w:t>
        <w:t xml:space="preserve"> </w:t>
      </w:r>
      <w:r>
        <w:t xml:space="preserve"> </w:t>
      </w:r>
      <w:r>
        <w:t xml:space="preserve">Each community action agency shall establish a governing board of directors, which must consist of not less than 15 nor more than 30 members.  One third of the members must be representatives of low-income residents of the service area who are selected through a democratic process in accordance with guidelines established by the bureau.  One third of the members must be elected public officials or their designees or officials of public agencies operating in the service area.  One third of the members must be representatives of private sector organizations, including business and industry, as well as educational, civic, labor and religious organizations.  All meetings of the board of directors must be in accordance with the freedom of access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community action agency board of directors is responsible for the following:</w:t>
      </w:r>
    </w:p>
    <w:p>
      <w:pPr>
        <w:jc w:val="both"/>
        <w:spacing w:before="100" w:after="0"/>
        <w:ind w:start="720"/>
      </w:pPr>
      <w:r>
        <w:rPr/>
        <w:t>A</w:t>
        <w:t xml:space="preserve">.  </w:t>
      </w:r>
      <w:r>
        <w:rPr/>
      </w:r>
      <w:r>
        <w:t xml:space="preserve">Overall direction, oversight and development of policies of the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Selection, evaluation and dismissal of the executive director of the community action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Approval of all contracts;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Approval of all agency budgets;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Performance of an annual audit by an independent, qualified outside auditor.  The audit must be submitted upon completion to the bureau;</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Convening public meetings to provide low-income and other citizens of the service area the opportunity to comment upon policies and programs of the community action agencies;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Evaluate agency programs and assess community and agency needs.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§5325. Governing board for community action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§5325. Governing board for community action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§5325. GOVERNING BOARD FOR COMMUNITY ACTION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