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5327</w:t>
        <w:t xml:space="preserve">.  </w:t>
      </w:r>
      <w:r>
        <w:rPr>
          <w:b/>
        </w:rPr>
        <w:t xml:space="preserve">Allocation of Community Services Block Grant funds</w:t>
      </w:r>
    </w:p>
    <w:p>
      <w:pPr>
        <w:jc w:val="both"/>
        <w:spacing w:before="100" w:after="0"/>
        <w:ind w:start="360"/>
        <w:ind w:firstLine="360"/>
      </w:pPr>
      <w:r>
        <w:rPr>
          <w:b/>
        </w:rPr>
        <w:t>1</w:t>
        <w:t xml:space="preserve">.  </w:t>
      </w:r>
      <w:r>
        <w:rPr>
          <w:b/>
        </w:rPr>
        <w:t xml:space="preserve">Distribution of Community Services Block Grant funds.</w:t>
        <w:t xml:space="preserve"> </w:t>
      </w:r>
      <w:r>
        <w:t xml:space="preserve"> </w:t>
      </w:r>
      <w:r>
        <w:t xml:space="preserve">In accordance with </w:t>
      </w:r>
      <w:r>
        <w:t>Title 5, section 1670</w:t>
      </w:r>
      <w:r>
        <w:t xml:space="preserve">, the division shall administer and distribute to community action agencies Community Services Block Grant funds received from the Federal Government.  The division may expend up to but not more than 5% of the block grant per fiscal year to carry out its administrative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2</w:t>
        <w:t xml:space="preserve">.  </w:t>
      </w:r>
      <w:r>
        <w:rPr>
          <w:b/>
        </w:rPr>
        <w:t xml:space="preserve">Community action agencies; priority.</w:t>
        <w:t xml:space="preserve"> </w:t>
      </w:r>
      <w:r>
        <w:t xml:space="preserve"> </w:t>
      </w:r>
      <w:r>
        <w:t xml:space="preserve">Of the amount passed through to local agencies, community action agencies must receive first priority in the allocation of Community Services Block Grant funds.  These funds must be distributed according to a formula determined annually as follows.</w:t>
      </w:r>
    </w:p>
    <w:p>
      <w:pPr>
        <w:jc w:val="both"/>
        <w:spacing w:before="100" w:after="0"/>
        <w:ind w:start="720"/>
      </w:pPr>
      <w:r>
        <w:rPr/>
        <w:t>A</w:t>
        <w:t xml:space="preserve">.  </w:t>
      </w:r>
      <w:r>
        <w:rPr/>
      </w:r>
      <w:r>
        <w:t xml:space="preserve">Twenty percent of the amount passed through to local agencies must be divided equally among all designated agencies.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B</w:t>
        <w:t xml:space="preserve">.  </w:t>
      </w:r>
      <w:r>
        <w:rPr/>
      </w:r>
      <w:r>
        <w:t xml:space="preserve">The balance of the funds must be distributed according to rules adopted by the division.</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3</w:t>
        <w:t xml:space="preserve">.  </w:t>
      </w:r>
      <w:r>
        <w:rPr>
          <w:b/>
        </w:rPr>
        <w:t xml:space="preserve">Block grant proposals.</w:t>
        <w:t xml:space="preserve"> </w:t>
      </w:r>
      <w:r>
        <w:t xml:space="preserve"> </w:t>
      </w:r>
      <w:r>
        <w:t xml:space="preserve">Proposals for Community Services Block Grant funds submitted to the Legislature by the division in accordance with </w:t>
      </w:r>
      <w:r>
        <w:t>Title 5, section 1670</w:t>
      </w:r>
      <w:r>
        <w:t xml:space="preserve"> must be developed and must:</w:t>
      </w:r>
    </w:p>
    <w:p>
      <w:pPr>
        <w:jc w:val="both"/>
        <w:spacing w:before="100" w:after="0"/>
        <w:ind w:start="720"/>
      </w:pPr>
      <w:r>
        <w:rPr/>
        <w:t>A</w:t>
        <w:t xml:space="preserve">.  </w:t>
      </w:r>
      <w:r>
        <w:rPr/>
      </w:r>
      <w:r>
        <w:t xml:space="preserve">Include a description of current allocation of Community Services Block Grant funds and how the plan proposes to change that allocation;</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B</w:t>
        <w:t xml:space="preserve">.  </w:t>
      </w:r>
      <w:r>
        <w:rPr/>
      </w:r>
      <w:r>
        <w:t xml:space="preserve">Retain the absolute minimum necessary for administrative costs; and</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C</w:t>
        <w:t xml:space="preserve">.  </w:t>
      </w:r>
      <w:r>
        <w:rPr/>
      </w:r>
      <w:r>
        <w:t xml:space="preserve">Provide for maximum flexibility within community action agencies for the use of Community Services Block Grant funds.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§5327. Allocation of Community Services Block Grant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§5327. Allocation of Community Services Block Grant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§5327. ALLOCATION OF COMMUNITY SERVICES BLOCK GRANT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