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User fees</w:t>
      </w:r>
    </w:p>
    <w:p>
      <w:pPr>
        <w:jc w:val="both"/>
        <w:spacing w:before="100" w:after="100"/>
        <w:ind w:start="360"/>
        <w:ind w:firstLine="360"/>
      </w:pPr>
      <w:r>
        <w:rPr/>
      </w:r>
      <w:r>
        <w:rPr/>
      </w:r>
      <w:r>
        <w:t xml:space="preserve">The commissioner shall charge a user fee to all carriers that offer qualified health plans in the marketplace.  The user fee must be paid monthly by the carrier and deposited into the marketplace trust fund and may be used only for marketplace functions.  The user fee must be applied at a rate that is a percentage of the total monthly premium charged by a carrier for each qualified health plan sold in the marketplace and may not exceed the total user fee rate charged by the Federal Government for use of the federally facilitated exchange during plan year 2020.  The rate is 0.5% during any period that the State is using the federal platform as described in 45 Code of Federal Regulations, Section 155.200(f) and 3% during any period that the State is performing all the functions of a state-based marketplace as described in 45 Code of Federal Regulations, Section 155.200.</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§5406.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§5406.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