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6101</w:t>
        <w:t xml:space="preserve">.  </w:t>
      </w:r>
      <w:r>
        <w:rPr>
          <w:b/>
        </w:rPr>
        <w:t xml:space="preserve">Short title</w:t>
      </w:r>
    </w:p>
    <w:p>
      <w:pPr>
        <w:jc w:val="both"/>
        <w:spacing w:before="100" w:after="100"/>
        <w:ind w:start="360"/>
        <w:ind w:firstLine="360"/>
      </w:pPr>
      <w:r>
        <w:rPr/>
      </w:r>
      <w:r>
        <w:rPr/>
      </w:r>
      <w:r>
        <w:t xml:space="preserve">This Part may be cited as the "Priority Social Services Act of 1973."</w:t>
      </w:r>
      <w:r>
        <w:t xml:space="preserve">  </w:t>
      </w:r>
      <w:r xmlns:wp="http://schemas.openxmlformats.org/drawingml/2010/wordprocessingDrawing" xmlns:w15="http://schemas.microsoft.com/office/word/2012/wordml">
        <w:rPr>
          <w:rFonts w:ascii="Arial" w:hAnsi="Arial" w:cs="Arial"/>
          <w:sz w:val="22"/>
          <w:szCs w:val="22"/>
        </w:rPr>
        <w:t xml:space="preserve">[RR 1991, c. 2, §84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RR 1991, c. 2, §84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