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Funds</w:t>
      </w:r>
    </w:p>
    <w:p>
      <w:pPr>
        <w:jc w:val="both"/>
        <w:spacing w:before="100" w:after="0"/>
        <w:ind w:start="360"/>
        <w:ind w:firstLine="360"/>
      </w:pPr>
      <w:r>
        <w:rPr>
          <w:b/>
        </w:rPr>
        <w:t>1</w:t>
        <w:t xml:space="preserve">.  </w:t>
      </w:r>
      <w:r>
        <w:rPr>
          <w:b/>
        </w:rPr>
        <w:t xml:space="preserve">Distribution.</w:t>
        <w:t xml:space="preserve"> </w:t>
      </w:r>
      <w:r>
        <w:t xml:space="preserve"> </w:t>
      </w:r>
      <w:r>
        <w:t xml:space="preserve">The department shall disburse funds, pursuant to this Subtitle, in a manner that ensures, to the extent practicable, equitable distribution of services among adults with long-term care needs and the various regions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w:pPr>
        <w:jc w:val="both"/>
        <w:spacing w:before="100" w:after="0"/>
        <w:ind w:start="360"/>
        <w:ind w:firstLine="360"/>
      </w:pPr>
      <w:r>
        <w:rPr>
          <w:b/>
        </w:rPr>
        <w:t>2</w:t>
        <w:t xml:space="preserve">.  </w:t>
      </w:r>
      <w:r>
        <w:rPr>
          <w:b/>
        </w:rPr>
        <w:t xml:space="preserve">Fee scale.</w:t>
        <w:t xml:space="preserve"> </w:t>
      </w:r>
      <w:r>
        <w:t xml:space="preserve"> </w:t>
      </w:r>
      <w:r>
        <w:t xml:space="preserve">The department shall develop, wherever practicable, sliding fee scales for adult day care services provided pursuant to this Subtitle.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§6209.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§6209.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