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§7304. DELIVERY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