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Funds</w:t>
      </w:r>
    </w:p>
    <w:p>
      <w:pPr>
        <w:jc w:val="both"/>
        <w:spacing w:before="100" w:after="0"/>
        <w:ind w:start="360"/>
        <w:ind w:firstLine="360"/>
      </w:pPr>
      <w:r>
        <w:rPr>
          <w:b/>
        </w:rPr>
        <w:t>1</w:t>
        <w:t xml:space="preserve">.  </w:t>
      </w:r>
      <w:r>
        <w:rPr>
          <w:b/>
        </w:rPr>
        <w:t xml:space="preserve">Federal and private funds.</w:t>
        <w:t xml:space="preserve"> </w:t>
      </w:r>
      <w:r>
        <w:t xml:space="preserve"> </w:t>
      </w:r>
      <w:r>
        <w:t xml:space="preserve">The department may apply for and use any federal or private funds and other support which become available to carry out any program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whenever practicable, sliding fee scales for in-home and community support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§86 (COR).]</w:t>
      </w:r>
    </w:p>
    <w:p>
      <w:pPr>
        <w:jc w:val="both"/>
        <w:spacing w:before="100" w:after="0"/>
        <w:ind w:start="360"/>
        <w:ind w:firstLine="360"/>
      </w:pPr>
      <w:r>
        <w:rPr>
          <w:b/>
        </w:rPr>
        <w:t>3</w:t>
        <w:t xml:space="preserve">.  </w:t>
      </w:r>
      <w:r>
        <w:rPr>
          <w:b/>
        </w:rPr>
        <w:t xml:space="preserve">Vouchers.</w:t>
        <w:t xml:space="preserve"> </w:t>
      </w:r>
      <w:r>
        <w:t xml:space="preserve"> </w:t>
      </w:r>
      <w:r>
        <w:t xml:space="preserve">The department may, through the use of vouchers, make payments directly to adults with long-term care needs to enable them to purchase in-home and community support services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4</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among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§7305.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