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7921</w:t>
        <w:t xml:space="preserve">.  </w:t>
      </w:r>
      <w:r>
        <w:rPr>
          <w:b/>
        </w:rPr>
        <w:t xml:space="preserve">Intent</w:t>
      </w:r>
    </w:p>
    <w:p>
      <w:pPr>
        <w:jc w:val="both"/>
        <w:spacing w:before="100" w:after="100"/>
        <w:ind w:start="360"/>
        <w:ind w:firstLine="360"/>
      </w:pPr>
      <w:r>
        <w:rPr/>
      </w:r>
      <w:r>
        <w:rPr/>
      </w:r>
      <w:r>
        <w:t xml:space="preserve">It is the intent of the Legislature to establish a mechanism for residents of long-term care facilities in this State to articulate their rights and to be responsible for the protection of those rights.</w:t>
      </w:r>
      <w:r>
        <w:t xml:space="preserve">  </w:t>
      </w:r>
      <w:r xmlns:wp="http://schemas.openxmlformats.org/drawingml/2010/wordprocessingDrawing" xmlns:w15="http://schemas.microsoft.com/office/word/2012/wordml">
        <w:rPr>
          <w:rFonts w:ascii="Arial" w:hAnsi="Arial" w:cs="Arial"/>
          <w:sz w:val="22"/>
          <w:szCs w:val="22"/>
        </w:rPr>
        <w:t xml:space="preserve">[PL 1981, c. 445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§7921.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§7921.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