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8710</w:t>
        <w:t xml:space="preserve">.  </w:t>
      </w:r>
      <w:r>
        <w:rPr>
          <w:b/>
        </w:rPr>
        <w:t xml:space="preserve">Restructuring data</w:t>
      </w:r>
    </w:p>
    <w:p>
      <w:pPr>
        <w:jc w:val="both"/>
        <w:spacing w:before="100" w:after="100"/>
        <w:ind w:start="360"/>
        <w:ind w:firstLine="360"/>
      </w:pPr>
      <w:r>
        <w:rPr/>
      </w:r>
      <w:r>
        <w:rPr/>
      </w:r>
      <w:r>
        <w:t xml:space="preserve">Restructuring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Major structural changes.</w:t>
        <w:t xml:space="preserve"> </w:t>
      </w:r>
      <w:r>
        <w:t xml:space="preserve"> </w:t>
      </w:r>
      <w:r>
        <w:t xml:space="preserve">The board may require providers and payors to report the occurrence of major structural changes relevant to the restructuring of the delivery and financing of health care in the State and to the potential effects of that restructuring upon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2</w:t>
        <w:t xml:space="preserve">.  </w:t>
      </w:r>
      <w:r>
        <w:rPr>
          <w:b/>
        </w:rPr>
        <w:t xml:space="preserve">Rulemaking.</w:t>
        <w:t xml:space="preserve"> </w:t>
      </w:r>
      <w:r>
        <w:t xml:space="preserve"> </w:t>
      </w:r>
      <w:r>
        <w:t xml:space="preserve">The board shall adopt rules to define the specific structural changes to be reported, consistent with </w:t>
      </w:r>
      <w:r>
        <w:t>subsection 1</w:t>
      </w:r>
      <w:r>
        <w:t xml:space="preserve">.  The required report must be limited to the filing of a concise narrative description of those occurrences that are clearly defined by the rule as requiring a report, accompanied by a chart depicting the relationship among organizations affected by the structural change.  The rule must allow a single report to be filed by all providers and payors participating in or affected by a structural change for which a report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In addition to the reports required under </w:t>
      </w:r>
      <w:r>
        <w:t>subsections 1</w:t>
      </w:r>
      <w:r>
        <w:t xml:space="preserve"> and </w:t>
      </w:r>
      <w:r>
        <w:t>2</w:t>
      </w:r>
      <w:r>
        <w:t xml:space="preserve">, the organization may collect, store and analyze additional information from published sources and information that a provider or payor has prepared voluntarily for nonconfidential distribution to persons other than employees, officers and the governing body of the provider or payor.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section may be construed to require providers or payors to notify the organization prior to taking action to evaluate restructuring or to require providers or payors to generate, compile, analyze or submit information in addition to the concise narrative descriptions and chart required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§8710. Restructuring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§8710. Restructuring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§8710. RESTRUCTURING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