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jc w:val="center"/>
        <w:ind w:start="360"/>
        <w:spacing w:before="300" w:after="300"/>
      </w:pPr>
      <w:r>
        <w:rPr>
          <w:b/>
        </w:rPr>
        <w:t>SUBCHAPTER</w:t>
        <w:t xml:space="preserve"> </w:t>
        <w:t>2</w:t>
      </w:r>
    </w:p>
    <w:p>
      <w:pPr>
        <w:jc w:val="center"/>
        <w:ind w:start="360"/>
        <w:spacing w:before="300" w:after="300"/>
      </w:pPr>
      <w:r>
        <w:rPr>
          <w:b/>
        </w:rPr>
        <w:t xml:space="preserve">ECONOMIC ADVISORY BOARD</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center"/>
        <w:ind w:start="360"/>
        <w:spacing w:before="300" w:after="300"/>
      </w:pPr>
      <w:r>
        <w:rPr>
          <w:b/>
        </w:rPr>
        <w:t>SUBCHAPTER</w:t>
        <w:t xml:space="preserve"> </w:t>
        <w:t>2-A</w:t>
      </w:r>
    </w:p>
    <w:p>
      <w:pPr>
        <w:jc w:val="center"/>
        <w:ind w:start="360"/>
        <w:spacing w:before="300" w:after="300"/>
      </w:pPr>
      <w:r>
        <w:rPr>
          <w:b/>
        </w:rPr>
        <w:t xml:space="preserve">BOND ISSUANCE</w:t>
      </w:r>
    </w:p>
    <w:p>
      <w:pPr>
        <w:jc w:val="center"/>
        <w:ind w:start="360"/>
        <w:spacing w:before="300" w:after="300"/>
      </w:pPr>
      <w:r>
        <w:rPr>
          <w:b/>
        </w:rPr>
        <w:t>(REPEALED)</w:t>
      </w:r>
    </w:p>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jc w:val="center"/>
        <w:ind w:start="360"/>
        <w:spacing w:before="300" w:after="300"/>
      </w:pPr>
      <w:r>
        <w:rPr>
          <w:b/>
        </w:rPr>
        <w:t>SUBCHAPTER</w:t>
        <w:t xml:space="preserve"> </w:t>
        <w:t>3</w:t>
      </w:r>
    </w:p>
    <w:p>
      <w:pPr>
        <w:jc w:val="center"/>
        <w:ind w:start="360"/>
        <w:spacing w:before="300" w:after="300"/>
      </w:pPr>
      <w:r>
        <w:rPr>
          <w:b/>
        </w:rPr>
        <w:t xml:space="preserve">BONDS</w:t>
      </w:r>
    </w:p>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jc w:val="center"/>
        <w:ind w:start="360"/>
        <w:spacing w:before="300" w:after="300"/>
      </w:pPr>
      <w:r>
        <w:rPr>
          <w:b/>
        </w:rPr>
        <w:t>SUBCHAPTER</w:t>
        <w:t xml:space="preserve"> </w:t>
        <w:t>3-A</w:t>
      </w:r>
    </w:p>
    <w:p>
      <w:pPr>
        <w:jc w:val="center"/>
        <w:ind w:start="360"/>
        <w:spacing w:before="300" w:after="300"/>
      </w:pPr>
      <w:r>
        <w:rPr>
          <w:b/>
        </w:rPr>
        <w:t xml:space="preserve">GARVEE BONDING</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center"/>
        <w:ind w:start="360"/>
        <w:spacing w:before="300" w:after="300"/>
      </w:pPr>
      <w:r>
        <w:rPr>
          <w:b/>
        </w:rPr>
        <w:t>SUBCHAPTER</w:t>
        <w:t xml:space="preserve"> </w:t>
        <w:t>4</w:t>
      </w:r>
    </w:p>
    <w:p>
      <w:pPr>
        <w:jc w:val="center"/>
        <w:ind w:start="360"/>
        <w:spacing w:before="300" w:after="300"/>
      </w:pPr>
      <w:r>
        <w:rPr>
          <w:b/>
        </w:rPr>
        <w:t xml:space="preserve">GENERAL HIGHWAY FUND</w:t>
      </w:r>
    </w:p>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jc w:val="center"/>
        <w:ind w:start="360"/>
        <w:spacing w:before="300" w:after="300"/>
      </w:pPr>
      <w:r>
        <w:rPr>
          <w:b/>
        </w:rPr>
        <w:t>SUBCHAPTER</w:t>
        <w:t xml:space="preserve"> </w:t>
        <w:t>5</w:t>
      </w:r>
    </w:p>
    <w:p>
      <w:pPr>
        <w:jc w:val="center"/>
        <w:ind w:start="360"/>
        <w:spacing w:before="300" w:after="300"/>
      </w:pPr>
      <w:r>
        <w:rPr>
          <w:b/>
        </w:rPr>
        <w:t xml:space="preserve">TOWN ROAD IMPROVEMENT FUND</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jc w:val="center"/>
        <w:ind w:start="360"/>
        <w:spacing w:before="300" w:after="300"/>
      </w:pPr>
      <w:r>
        <w:rPr>
          <w:b/>
        </w:rPr>
        <w:t>SUBCHAPTER</w:t>
        <w:t xml:space="preserve"> </w:t>
        <w:t>5-A</w:t>
      </w:r>
    </w:p>
    <w:p>
      <w:pPr>
        <w:jc w:val="center"/>
        <w:ind w:start="360"/>
        <w:spacing w:before="300" w:after="300"/>
      </w:pPr>
      <w:r>
        <w:rPr>
          <w:b/>
        </w:rPr>
        <w:t xml:space="preserve">COLLECTOR ROAD IMPROVEMENT FUND</w:t>
      </w:r>
    </w:p>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jc w:val="center"/>
        <w:ind w:start="360"/>
        <w:spacing w:before="300" w:after="300"/>
      </w:pPr>
      <w:r>
        <w:rPr>
          <w:b/>
        </w:rPr>
        <w:t>SUBCHAPTER</w:t>
        <w:t xml:space="preserve"> </w:t>
        <w:t>6</w:t>
      </w:r>
    </w:p>
    <w:p>
      <w:pPr>
        <w:jc w:val="center"/>
        <w:ind w:start="360"/>
        <w:spacing w:before="300" w:after="300"/>
      </w:pPr>
      <w:r>
        <w:rPr>
          <w:b/>
        </w:rPr>
        <w:t xml:space="preserve">LOCAL ROAD ASSISTANCE PROGRAM</w:t>
      </w:r>
    </w:p>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 and</w:t>
      </w:r>
    </w:p>
    <w:p>
      <w:pPr>
        <w:jc w:val="both"/>
        <w:spacing w:before="100" w:after="0"/>
        <w:ind w:start="1080"/>
      </w:pPr>
      <w:r>
        <w:rPr/>
        <w:t>(</w:t>
        <w:t>2</w:t>
        <w:t xml:space="preserve">)  </w:t>
      </w:r>
      <w:r>
        <w:rPr/>
      </w:r>
      <w:r>
        <w:t>Title 35‑A, section 122, subsection 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w:t>
      </w:r>
    </w:p>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jc w:val="center"/>
        <w:ind w:start="360"/>
        <w:spacing w:before="300" w:after="300"/>
      </w:pPr>
      <w:r>
        <w:rPr>
          <w:b/>
        </w:rPr>
        <w:t>SUBCHAPTER</w:t>
        <w:t xml:space="preserve"> </w:t>
        <w:t>6-A</w:t>
      </w:r>
    </w:p>
    <w:p>
      <w:pPr>
        <w:jc w:val="center"/>
        <w:ind w:start="360"/>
        <w:spacing w:before="300" w:after="300"/>
      </w:pPr>
      <w:r>
        <w:rPr>
          <w:b/>
        </w:rPr>
        <w:t xml:space="preserve">TRANSPORTATION INVESTMENT PARTNERSHIPS</w:t>
      </w:r>
    </w:p>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jc w:val="center"/>
        <w:ind w:start="360"/>
        <w:spacing w:before="300" w:after="300"/>
      </w:pPr>
      <w:r>
        <w:rPr>
          <w:b/>
        </w:rPr>
        <w:t>SUBCHAPTER</w:t>
        <w:t xml:space="preserve"> </w:t>
        <w:t>7</w:t>
      </w:r>
    </w:p>
    <w:p>
      <w:pPr>
        <w:jc w:val="center"/>
        <w:ind w:start="360"/>
        <w:spacing w:before="300" w:after="300"/>
      </w:pPr>
      <w:r>
        <w:rPr>
          <w:b/>
        </w:rPr>
        <w:t xml:space="preserve">SALT AND SAND STORAGE FACILITIES</w:t>
      </w:r>
    </w:p>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jc w:val="center"/>
        <w:ind w:start="360"/>
        <w:spacing w:before="300" w:after="300"/>
      </w:pPr>
      <w:r>
        <w:rPr>
          <w:b/>
        </w:rPr>
        <w:t>SUBCHAPTER</w:t>
        <w:t xml:space="preserve"> </w:t>
        <w:t>8</w:t>
      </w:r>
    </w:p>
    <w:p>
      <w:pPr>
        <w:jc w:val="center"/>
        <w:ind w:start="360"/>
        <w:spacing w:before="300" w:after="300"/>
      </w:pPr>
      <w:r>
        <w:rPr>
          <w:b/>
        </w:rPr>
        <w:t xml:space="preserve">STATE INFRASTRUCTURE BANK</w:t>
      </w:r>
    </w:p>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19.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