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§1005-A. Accidents; snow fences;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§1005-A. Accidents; snow fences;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§1005-A. ACCIDENTS; SNOW FENCES;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