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State pays expense</w:t>
      </w:r>
    </w:p>
    <w:p>
      <w:pPr>
        <w:jc w:val="both"/>
        <w:spacing w:before="100" w:after="100"/>
        <w:ind w:start="360"/>
        <w:ind w:firstLine="360"/>
      </w:pPr>
      <w:r>
        <w:rPr/>
      </w:r>
      <w:r>
        <w:rPr/>
      </w:r>
      <w:r>
        <w:t xml:space="preserve">The expense of the erection and maintenance of each warning sign mentioned in </w:t>
      </w:r>
      <w:r>
        <w:t>sections 1251</w:t>
      </w:r>
      <w:r>
        <w:t xml:space="preserve"> and </w:t>
      </w:r>
      <w:r>
        <w:t>1252</w:t>
      </w:r>
      <w:r>
        <w:t xml:space="preserve"> shall be borne by the State and paid out of any highway funds not otherwise appropriated.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State pays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State pays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§1253. STATE PAYS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