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1618</w:t>
        <w:t xml:space="preserve">.  </w:t>
      </w:r>
      <w:r>
        <w:rPr>
          <w:b/>
        </w:rPr>
        <w:t xml:space="preserve">Exception to prohibited acts and limitation of powers</w:t>
      </w:r>
    </w:p>
    <w:p>
      <w:pPr>
        <w:jc w:val="both"/>
        <w:spacing w:before="100" w:after="100"/>
        <w:ind w:start="360"/>
        <w:ind w:firstLine="360"/>
      </w:pPr>
      <w:r>
        <w:rPr/>
      </w:r>
      <w:r>
        <w:rPr/>
      </w:r>
      <w:r>
        <w:t xml:space="preserve">Notwithstanding </w:t>
      </w:r>
      <w:r>
        <w:t>Title 30‑A, section 5958</w:t>
      </w:r>
      <w:r>
        <w:t xml:space="preserve">, the bank may make loans to the State or any agency or department of the State in connection with the financing of qualified transportation projects.  Notwithstanding </w:t>
      </w:r>
      <w:r>
        <w:t>Title 30‑A, section 6003</w:t>
      </w:r>
      <w:r>
        <w:t xml:space="preserve">, the bank may issue its bonds from time to time in any principal amounts that it considers necessary to provide funds for any of the purposes authorized by this section, including the financing or refinancing of all or a portion of the costs of qualified transportation projects.  Notwithstanding </w:t>
      </w:r>
      <w:r>
        <w:t>Title 30‑A, section 6019</w:t>
      </w:r>
      <w:r>
        <w:t xml:space="preserve">, the bank may enter into any agreements or contracts with any commercial banks, trust companies or banking or other financial institutions within or outside the State that are necessary, desirable or convenient in the opinion of the bank to provide any other services to the bank to assist the bank in effectuating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§1618. Exception to prohibited acts and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§1618. Exception to prohibited acts and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§1618. EXCEPTION TO PROHIBITED ACTS AND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