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§1913-A. Categorical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§1913-A. CATEGORICAL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