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Administration of chapter</w:t>
      </w:r>
    </w:p>
    <w:p>
      <w:pPr>
        <w:jc w:val="both"/>
        <w:spacing w:before="100" w:after="100"/>
        <w:ind w:start="360"/>
        <w:ind w:firstLine="360"/>
      </w:pPr>
      <w:r>
        <w:rPr/>
      </w:r>
      <w:r>
        <w:rPr/>
      </w:r>
      <w:r>
        <w:t xml:space="preserve">Except as otherwise provided in this chapter, the commissioner shall administer this chapter.  The commissioner may employ, subject to the Civil Service Law, clerical and other assistants required for the administration of this chapter. The commissioner may delegate to personnel of the Department of Transportation the authority to administer this chapter.  The commissioner  shall adopt rules  for the implementation of this chapter that are substantially compliant with the Manual on Uniform Traffic Control Devices published by the Federal Highway Administration and other national engineering standards.  Rules adopted pursuant to this section are routine technical rules as defined in Title 5, chapter 375, subchapter 2-A.  The commissioner may execute contracts and other agreements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529, §10 (AMD).]</w:t>
      </w:r>
    </w:p>
    <w:p>
      <w:pPr>
        <w:jc w:val="both"/>
        <w:spacing w:before="100" w:after="100"/>
        <w:ind w:start="360"/>
        <w:ind w:firstLine="360"/>
      </w:pPr>
      <w:r>
        <w:rPr/>
      </w:r>
      <w:r>
        <w:rPr/>
      </w:r>
      <w:r>
        <w:t xml:space="preserve">The Maine Turnpike Authority shall implement and administer the provisions of this chapter relating to signs on the Maine Turnpike in accordance with </w:t>
      </w:r>
      <w:r>
        <w:t>section 1965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529, §10 (NEW).]</w:t>
      </w:r>
    </w:p>
    <w:p>
      <w:pPr>
        <w:jc w:val="both"/>
        <w:spacing w:before="100" w:after="0"/>
        <w:ind w:start="360"/>
        <w:ind w:firstLine="360"/>
      </w:pPr>
      <w:r>
        <w:rPr>
          <w:b/>
        </w:rPr>
        <w:t>1</w:t>
        <w:t xml:space="preserve">.  </w:t>
      </w:r>
      <w:r>
        <w:rPr>
          <w:b/>
        </w:rPr>
        <w:t xml:space="preserve">Administration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1985, c. 785, §B104 (AMD). PL 2011, c. 344, §31 (AMD). PL 2013, c. 529,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§1925. Administration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Administration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§1925. ADMINISTRATION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