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§2055. Return filed;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Return filed;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§2055. RETURN FILED;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