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Proceedings</w:t>
      </w:r>
    </w:p>
    <w:p>
      <w:pPr>
        <w:jc w:val="both"/>
        <w:spacing w:before="100" w:after="100"/>
        <w:ind w:start="360"/>
        <w:ind w:firstLine="360"/>
      </w:pPr>
      <w:r>
        <w:rPr/>
      </w:r>
      <w:r>
        <w:rPr/>
      </w:r>
      <w:r>
        <w:t xml:space="preserve">Each county must be represented at such meeting by a majority of its commissioners. A majority of those present may decide upon the whole matter. The duty of carrying that judgment into effect shall be performed in each county by its own commissioners in the manner respecting ways wholly within it. When each county is not so represented, those present may adjourn the meeting to another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