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Notification to county commissioners of change in highway</w:t>
      </w:r>
    </w:p>
    <w:p>
      <w:pPr>
        <w:jc w:val="both"/>
        <w:spacing w:before="100" w:after="100"/>
        <w:ind w:start="360"/>
        <w:ind w:firstLine="360"/>
      </w:pPr>
      <w:r>
        <w:rPr/>
      </w:r>
      <w:r>
        <w:rPr/>
      </w:r>
      <w:r>
        <w:t xml:space="preserve">Whenever the location of any state aid or town way that was designated as a 3rd class highway at the time that the 3rd class highway designations were rescinded is changed, added to, discontinued or a new location is established by a town or city, the municipal officers of said town or city shall notify the county commissioners of the county of which said town or city is a part of such change with an accurate description of the courses and distances, within 3 months from such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§2951. Notification to county commissioners of change in highway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Notification to county commissioners of change in highway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§2951. NOTIFICATION TO COUNTY COMMISSIONERS OF CHANGE IN HIGHWAY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