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Failure to maintain; damages</w:t>
      </w:r>
    </w:p>
    <w:p>
      <w:pPr>
        <w:jc w:val="both"/>
        <w:spacing w:before="100" w:after="100"/>
        <w:ind w:start="360"/>
        <w:ind w:firstLine="360"/>
      </w:pPr>
      <w:r>
        <w:rPr/>
      </w:r>
      <w:r>
        <w:rPr/>
      </w:r>
      <w:r>
        <w:t xml:space="preserve">If the municipal officers of any town unreasonably neglect to cause a guidepost to be erected in their town as provided by law, they forfeit $5 for each month's neglect, to be recovered in a civil action by any person suing therefor. Plantations assessed in state or county taxes and their officers are under the same obligations and subject to the same penalties in these respects as towns.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§3302. Failure to maintain;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Failure to maintain;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§3302. FAILURE TO MAINTAIN;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