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Manner of presenting petition</w:t>
      </w:r>
    </w:p>
    <w:p>
      <w:pPr>
        <w:jc w:val="both"/>
        <w:spacing w:before="100" w:after="100"/>
        <w:ind w:start="360"/>
        <w:ind w:firstLine="360"/>
      </w:pPr>
      <w:r>
        <w:rPr/>
      </w:r>
      <w:r>
        <w:rPr/>
      </w:r>
      <w:r>
        <w:t xml:space="preserve">The petition provided for in </w:t>
      </w:r>
      <w:r>
        <w:t>section 3652</w:t>
      </w:r>
      <w:r>
        <w:t xml:space="preserve"> may be presented to the county commissioners at any of their sessions, or in vacation to their chairman, who shall procure the concurrence of his associates in fixing the time and place in the order of notice and cause the petition to be entered at their next session. They shall make full return of their proceedings on the petition and cause the same to be recorded as of their next regular term after the proceedings are closed.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§3653. Manner of presenting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Manner of presenting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§3653. MANNER OF PRESENTING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