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w:t>
        <w:t xml:space="preserve">.  </w:t>
      </w:r>
      <w:r>
        <w:rPr>
          <w:b/>
        </w:rPr>
        <w:t xml:space="preserve">Construction, reconstruction and improvement</w:t>
      </w:r>
    </w:p>
    <w:p>
      <w:pPr>
        <w:jc w:val="both"/>
        <w:spacing w:before="100" w:after="100"/>
        <w:ind w:start="360"/>
        <w:ind w:firstLine="360"/>
      </w:pPr>
      <w:r>
        <w:rPr/>
      </w:r>
      <w:r>
        <w:rPr/>
      </w:r>
      <w:r>
        <w:t xml:space="preserve">The construction, reconstruction and improvement of all bridges on state highways and all approaches to those bridges are borne wholly by the State except as otherwise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1991, c. 409,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§401. Construction, reconstruction and improvement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 Construction, reconstruction and improvement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§401. CONSTRUCTION, RECONSTRUCTION AND IMPROVEMENT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