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§4210-G. SUPPLEMENTAL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