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Applicability</w:t>
      </w:r>
    </w:p>
    <w:p>
      <w:pPr>
        <w:jc w:val="both"/>
        <w:spacing w:before="100" w:after="100"/>
        <w:ind w:start="360"/>
        <w:ind w:firstLine="360"/>
      </w:pPr>
      <w:r>
        <w:rPr/>
      </w:r>
      <w:r>
        <w:rPr/>
      </w:r>
      <w:r>
        <w:t xml:space="preserve">This subchapter applies to all minor spans and bridges, as those terms are defined in this subchapter, that are located on public ways classified as town ways or state aid highways pursuant to </w:t>
      </w:r>
      <w:r>
        <w:t>section 53</w:t>
      </w:r>
      <w:r>
        <w:t xml:space="preserve">, excluding railroad bridges, bridges over the Maine Turnpike, bridges over interstate highways and bridges over state highways and state aid highways.</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§561.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§561.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