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§6010. Award of damages;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Award of damages;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§6010. AWARD OF DAMAGES;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