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6080</w:t>
        <w:t xml:space="preserve">.  </w:t>
      </w:r>
      <w:r>
        <w:rPr>
          <w:b/>
        </w:rPr>
        <w:t xml:space="preserve">Termination of authority</w:t>
      </w:r>
    </w:p>
    <w:p>
      <w:pPr>
        <w:jc w:val="both"/>
        <w:spacing w:before="100" w:after="100"/>
        <w:ind w:start="360"/>
        <w:ind w:firstLine="360"/>
      </w:pPr>
      <w:r>
        <w:rPr/>
      </w:r>
      <w:r>
        <w:rPr/>
      </w:r>
      <w:r>
        <w:t xml:space="preserve">Upon termination of employment of any railroad policeman, the powers of that policeman shall cease and terminate. Within 10 days after the termination, the appointing railroad shall, through its designated chief police officer or, in the absence of a chief police officer, its chief operating officer, file a notice of termination of employment of that individual with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§6080. Termination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§6080. Termination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§6080. TERMINATION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