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Record of locations and changes</w:t>
      </w:r>
    </w:p>
    <w:p>
      <w:pPr>
        <w:jc w:val="both"/>
        <w:spacing w:before="100" w:after="100"/>
        <w:ind w:start="360"/>
        <w:ind w:firstLine="360"/>
      </w:pPr>
      <w:r>
        <w:rPr/>
      </w:r>
      <w:r>
        <w:rPr/>
      </w:r>
      <w:r>
        <w:t xml:space="preserve">Whenever the department shall establish and locate or change the location of a state highway or state aid highway, or any town shall establish and locate or change the location of a highway that was designated as a 3rd class highway at the time that the 3rd class highway designations were rescinded, in any county of this State where the establishing and locating change the present location of any road, the said department or the town shall cause to be filed with the county commissioners of the county in which any such road is located an accurate description or plan of its metes and bounds and courses and distances.</w:t>
      </w:r>
      <w:r>
        <w:t xml:space="preserve">  </w:t>
      </w:r>
      <w:r xmlns:wp="http://schemas.openxmlformats.org/drawingml/2010/wordprocessingDrawing" xmlns:w15="http://schemas.microsoft.com/office/word/2012/wordml">
        <w:rPr>
          <w:rFonts w:ascii="Arial" w:hAnsi="Arial" w:cs="Arial"/>
          <w:sz w:val="22"/>
          <w:szCs w:val="22"/>
        </w:rPr>
        <w:t xml:space="preserve">[PL 1975, c.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Record of locations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Record of locations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§62. RECORD OF LOCATIONS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