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Temporary crossings</w:t>
      </w:r>
    </w:p>
    <w:p>
      <w:pPr>
        <w:jc w:val="both"/>
        <w:spacing w:before="100" w:after="100"/>
        <w:ind w:start="360"/>
        <w:ind w:firstLine="360"/>
      </w:pPr>
      <w:r>
        <w:rPr/>
      </w:r>
      <w:r>
        <w:rPr/>
      </w:r>
      <w:r>
        <w:t xml:space="preserve">A railroad company may, for the purpose of accommodating lumbering operations and for the transportation in ordinary vehicles of wood, coal, ice, hay or other commodities, establish and maintain temporary crossings of any railroad operated by it, by agreement with any person who may request the crossing for its purposes.  On petition, the Department of Transportation, after notice and hearing, may direct any railroad company to establish and maintain the temporary crossings at places on its line of road as the department deems expedient, and after that the railroad company shall establish the crossings and maintain them in accordance with this section and </w:t>
      </w:r>
      <w:r>
        <w:t>sections 7211</w:t>
      </w:r>
      <w:r>
        <w:t xml:space="preserve"> to </w:t>
      </w:r>
      <w:r>
        <w:t>7213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Whenever, in the opinion of the department, any temporary railroad crossing established under this section is no longer necessary, the department may, on its own motion or on petition of any interested party, after notice and hearing, order the crossing discontinued.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§7210. Temporary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Temporary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§7210. TEMPORARY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