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2-A</w:t>
        <w:t xml:space="preserve">.  </w:t>
      </w:r>
      <w:r>
        <w:rPr>
          <w:b/>
        </w:rPr>
        <w:t xml:space="preserve">State, county, municipal notice.</w:t>
        <w:t xml:space="preserve"> </w:t>
      </w:r>
      <w:r>
        <w:t xml:space="preserve"> </w:t>
      </w:r>
      <w:r>
        <w:t xml:space="preserve">In the event of a main line train derailment involving hazardous materials, a railroad company shall make a 9-1-1 call, as defined in </w:t>
      </w:r>
      <w:r>
        <w:t>Title 25, section 2921, subsection 17</w:t>
      </w:r>
      <w:r>
        <w:t xml:space="preserve">, to alert first responders, including municipal and county fire chiefs in the jurisdiction, and provide timely notice to the Department of Public Safety, the Department of Environmental Protection and the Maine Emergency Management Agency.  The Maine Emergency Management Agency may notify the Department of Transportation and the municipal and county fire chiefs located within the affected area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§4 (NEW).]</w:t>
      </w:r>
    </w:p>
    <w:p>
      <w:pPr>
        <w:jc w:val="both"/>
        <w:spacing w:before="100" w:after="0"/>
        <w:ind w:start="360"/>
        <w:ind w:firstLine="360"/>
      </w:pPr>
      <w:r>
        <w:rPr>
          <w:b/>
        </w:rPr>
        <w:t>2-B</w:t>
        <w:t xml:space="preserve">.  </w:t>
      </w:r>
      <w:r>
        <w:rPr>
          <w:b/>
        </w:rPr>
        <w:t xml:space="preserve">Public notice.</w:t>
        <w:t xml:space="preserve"> </w:t>
      </w:r>
      <w:r>
        <w:t xml:space="preserve"> </w:t>
      </w:r>
      <w:r>
        <w:t xml:space="preserve">In the event of a main line train derailment involving hazardous materials, the Maine Emergency Management Agency shall, if requested by a municipal or county fire chief serving as incident commander, issue an alert through an emergency alert system or wireless emergency alert system for the area identified by the incident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§5 (NEW).]</w:t>
      </w:r>
    </w:p>
    <w:p>
      <w:pPr>
        <w:jc w:val="both"/>
        <w:spacing w:before="100" w:after="0"/>
        <w:ind w:start="360"/>
        <w:ind w:firstLine="360"/>
      </w:pPr>
      <w:r>
        <w:rPr>
          <w:b/>
        </w:rPr>
        <w:t>2-C</w:t>
        <w:t xml:space="preserve">.  </w:t>
      </w:r>
      <w:r>
        <w:rPr>
          <w:b/>
        </w:rPr>
        <w:t xml:space="preserve">Failure to issue notice.</w:t>
        <w:t xml:space="preserve"> </w:t>
      </w:r>
      <w:r>
        <w:t xml:space="preserve"> </w:t>
      </w:r>
      <w:r>
        <w:t xml:space="preserve">If a railroad company fails to provide timely notice as required under </w:t>
      </w:r>
      <w:r>
        <w:t>subsection 2‑A</w:t>
      </w:r>
      <w:r>
        <w:t xml:space="preserve">, the Commissioner of Transportation may assess a fine up to $25,000 per failed notice per day in the event of a main line train derailment involving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§6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5</w:t>
        <w:t xml:space="preserve">.  </w:t>
      </w:r>
      <w:r>
        <w:rPr>
          <w:b/>
        </w:rPr>
        <w:t xml:space="preserve">Routine inspections.</w:t>
        <w:t xml:space="preserve"> </w:t>
      </w:r>
      <w:r>
        <w:t xml:space="preserve"> </w:t>
      </w:r>
      <w:r>
        <w:t xml:space="preserve">Upon request of the Commissioner of Transportation, a railroad company shall submit reports of inspections conducted pursuant to federal agency requirements under 49 Code of Federal Regulations, Subtitle B, Chapter II by a railroad company of trains, rails, rail safety equipment and rail corridors.  Records under this subsection are not public records pursuant to </w:t>
      </w:r>
      <w:r>
        <w:t>Title 1, section 402, subsection 3, paragraph 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2023, c. 618,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