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Maintenance by State</w:t>
      </w:r>
    </w:p>
    <w:p>
      <w:pPr>
        <w:jc w:val="both"/>
        <w:spacing w:before="100" w:after="100"/>
        <w:ind w:start="360"/>
        <w:ind w:firstLine="360"/>
      </w:pPr>
      <w:r>
        <w:rPr/>
      </w:r>
      <w:r>
        <w:rPr/>
      </w:r>
      <w:r>
        <w:t xml:space="preserve">State aid highways must be continually maintained under the direction and control of the department at the expense of the State except as provided in </w:t>
      </w:r>
      <w:r>
        <w:t>sections 705</w:t>
      </w:r>
      <w:r>
        <w:t xml:space="preserve">, </w:t>
      </w:r>
      <w:r>
        <w:t>754</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§C7 (AMD). PL 1999, c. 473, §C4 (AMD). PL 2009, c. 315,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Maintenance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Maintenance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§802. MAINTENANCE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