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Common trust funds, mutual funds</w:t>
      </w:r>
    </w:p>
    <w:p>
      <w:pPr>
        <w:jc w:val="both"/>
        <w:spacing w:before="100" w:after="100"/>
        <w:ind w:start="360"/>
        <w:ind w:firstLine="360"/>
      </w:pPr>
      <w:r>
        <w:rPr/>
      </w:r>
      <w:r>
        <w:rPr/>
      </w:r>
      <w:r>
        <w:t xml:space="preserve">An insurer may invest 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 bank's common trust fund as defined in section 584 of the United States Internal Revenue Code of 1954;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securities of any open-end management type investment company or investment trust registered with the federal Securities and Exchange Commission under the Investment Company Act of 1940 as from time to time amended, if such investment company or trust, other than one of which a subsidiary of the insurer is investment adviser or principal underwriter, has a net asset value of not less than $25,000,000 as at the date of investment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 Common trust funds,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Common trust funds,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§1120. COMMON TRUST FUNDS,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