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Housing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§1126. HOUSING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