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Investments in foreign countries</w:t>
      </w:r>
    </w:p>
    <w:p>
      <w:pPr>
        <w:jc w:val="both"/>
        <w:spacing w:before="100" w:after="0"/>
        <w:ind w:start="360"/>
        <w:ind w:firstLine="360"/>
      </w:pPr>
      <w:r>
        <w:rPr>
          <w:b/>
        </w:rPr>
        <w:t>1</w:t>
        <w:t xml:space="preserve">.  </w:t>
      </w:r>
      <w:r>
        <w:rPr>
          <w:b/>
        </w:rPr>
      </w:r>
      <w:r>
        <w:t xml:space="preserve"> </w:t>
      </w:r>
      <w:r>
        <w:t xml:space="preserve">An insurer authorized to transact insurance in a foreign country or which has outstanding insurance or reinsurance contracts on risks resident or located in a foreign country may invest in or otherwise acquire or loan upon securities and investments in such foreign country which are substantially of the same kinds, classes and investment grades as those eligible for investment under other sections of this chapter; but the aggregate amount of such investments in a foreign country and of cash in the currency of such country shall not, except as to Canadian investments otherwise authorized under this chapter, exceed 1 1/2 times the amount of its reserves and other obligations under such contracts or the amount which the insurer is required by law to invest in such country, whichever is the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§11 (AMD).]</w:t>
      </w:r>
    </w:p>
    <w:p>
      <w:pPr>
        <w:jc w:val="both"/>
        <w:spacing w:before="100" w:after="0"/>
        <w:ind w:start="360"/>
        <w:ind w:firstLine="360"/>
      </w:pPr>
      <w:r>
        <w:rPr>
          <w:b/>
        </w:rPr>
        <w:t>2</w:t>
        <w:t xml:space="preserve">.  </w:t>
      </w:r>
      <w:r>
        <w:rPr>
          <w:b/>
        </w:rPr>
      </w:r>
      <w:r>
        <w:t xml:space="preserve"> </w:t>
      </w:r>
      <w:r>
        <w:t xml:space="preserve">In addition to the foreign investments otherwise permitted under this chapter, an insurer may invest in or otherwise acquire or loan upon securities and investments in foreign countries which are substantially of the same kinds, classes and investment grades as those otherwise eligible for investment under this chapter; but the aggregate amount of such investments under this subsection shall not exceed 1%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 Investments in foreign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Investments in foreign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§1130. INVESTMENTS IN FOREIGN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