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w:t>
        <w:t xml:space="preserve">.  </w:t>
      </w:r>
      <w:r>
        <w:rPr>
          <w:b/>
        </w:rPr>
        <w:t xml:space="preserve">Investments of foreign insurers</w:t>
      </w:r>
    </w:p>
    <w:p>
      <w:pPr>
        <w:jc w:val="both"/>
        <w:spacing w:before="100" w:after="100"/>
        <w:ind w:start="360"/>
        <w:ind w:firstLine="360"/>
      </w:pPr>
      <w:r>
        <w:rPr/>
      </w:r>
      <w:r>
        <w:rPr/>
      </w:r>
      <w:r>
        <w:t xml:space="preserve">The investment portfolio of a foreign or alien insurer shall be as permitted by the laws of its domicile, if of a quality substantially equal to that required under this chapter for similar funds of like domestic insurers.</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§1161. Investments of foreign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 Investments of foreign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§1161. INVESTMENTS OF FOREIGN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